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86MS0079-01-2024-007070-11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05-0930/2615/2024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12.8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Сарварова Рафаэля Рималовича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3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 час.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Тюменский тракт, д.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Ханты-Мансийский автономный округ – Югра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Style w:val="cat-UserDefinedgrp-5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если такие действия не содержит уголовно наказуемого деяния, чем нарушил п. 2.7 Правил дорожного движения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о месте и времени рассмотрения дела об административном правонарушении надл</w:t>
      </w:r>
      <w:r>
        <w:rPr>
          <w:rFonts w:ascii="Times New Roman" w:eastAsia="Times New Roman" w:hAnsi="Times New Roman" w:cs="Times New Roman"/>
          <w:sz w:val="26"/>
          <w:szCs w:val="26"/>
        </w:rPr>
        <w:t>ежащим образом, в суд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суд приходит к следующим выводам.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1.1.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Правительства РФ от 21.10.2022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утверждены Правила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пункту 2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 соответствующего вида,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(запах алкоголя изо рта, неустойчивость позы, нарушение речи, </w:t>
      </w:r>
      <w:r>
        <w:rPr>
          <w:rFonts w:ascii="Times New Roman" w:eastAsia="Times New Roman" w:hAnsi="Times New Roman" w:cs="Times New Roman"/>
          <w:sz w:val="26"/>
          <w:szCs w:val="26"/>
        </w:rPr>
        <w:t>резкое изменение окраск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кожных покровов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поведение, не соответствующее обстановк</w:t>
      </w:r>
      <w:r>
        <w:rPr>
          <w:rFonts w:ascii="Times New Roman" w:eastAsia="Times New Roman" w:hAnsi="Times New Roman" w:cs="Times New Roman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524543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 час.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Тюменский тракт, д.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Ханты-Мансийский автономный округ – Югра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Style w:val="cat-UserDefinedgrp-54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опьянения, если такие действия не содержит уголовно наказуемого деяния, чем нарушил п. 2.7 Правил дорожного движения РФ; 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управления трансп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060736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15 час.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Тюменский тракт, д. 2</w:t>
      </w:r>
      <w:r>
        <w:rPr>
          <w:rFonts w:ascii="Times New Roman" w:eastAsia="Times New Roman" w:hAnsi="Times New Roman" w:cs="Times New Roman"/>
          <w:sz w:val="26"/>
          <w:szCs w:val="26"/>
        </w:rPr>
        <w:t>, г. Сургут, Ханты-Мансийский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Style w:val="cat-UserDefinedgrp-5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акт освидетельствования на состояние 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огольного опьянения 86 ГП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064138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с результатом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– </w:t>
      </w:r>
      <w:r>
        <w:rPr>
          <w:rFonts w:ascii="Times New Roman" w:eastAsia="Times New Roman" w:hAnsi="Times New Roman" w:cs="Times New Roman"/>
          <w:sz w:val="26"/>
          <w:szCs w:val="26"/>
        </w:rPr>
        <w:t>0,64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Сарваровым Р.Р.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задержания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СП № 061395 от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19.05.2024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 -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втомобиль </w:t>
      </w:r>
      <w:r>
        <w:rPr>
          <w:rStyle w:val="cat-UserDefinedgrp-54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задержан, передан для транспортировки и помещения на специализированную стоянку;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все обстоятельства совершенного правонарушения;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водительское удостоверение № </w:t>
      </w:r>
      <w:r>
        <w:rPr>
          <w:rFonts w:ascii="Times New Roman" w:eastAsia="Times New Roman" w:hAnsi="Times New Roman" w:cs="Times New Roman"/>
          <w:sz w:val="26"/>
          <w:szCs w:val="26"/>
        </w:rPr>
        <w:t>0208 771702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сроком действия до 13.07.2022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автомобиля </w:t>
      </w:r>
      <w:r>
        <w:rPr>
          <w:rStyle w:val="cat-UserDefinedgrp-54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Сарварову Р.Р.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19.05.2024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федеральной информационной базой ФИС ГИБДД-М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либо имеющим судимость за совершение преступлений,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ренных ст. </w:t>
      </w:r>
      <w:r>
        <w:rPr>
          <w:rFonts w:ascii="Times New Roman" w:eastAsia="Times New Roman" w:hAnsi="Times New Roman" w:cs="Times New Roman"/>
          <w:sz w:val="26"/>
          <w:szCs w:val="26"/>
        </w:rPr>
        <w:t>264.1 УК РФ, сведения об отказе в возбуждении соответствующего уголовного дела отсутствуют;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видеофиксация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 час.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Тюменский тракт, д. 2</w:t>
      </w:r>
      <w:r>
        <w:rPr>
          <w:rFonts w:ascii="Times New Roman" w:eastAsia="Times New Roman" w:hAnsi="Times New Roman" w:cs="Times New Roman"/>
          <w:sz w:val="26"/>
          <w:szCs w:val="26"/>
        </w:rPr>
        <w:t>, г. Сургут,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отстранен от управления транспортным средством -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втомобилем </w:t>
      </w:r>
      <w:r>
        <w:rPr>
          <w:rStyle w:val="cat-UserDefinedgrp-54rplc-8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55rplc-8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признаками опьянения. После чего ему было предложено пройти освидетельствование на состояние алкогольного опьянения на месте, после прохождения которого у него установлено состояние алкогольного опьянения, показания прибора - </w:t>
      </w:r>
      <w:r>
        <w:rPr>
          <w:rFonts w:ascii="Times New Roman" w:eastAsia="Times New Roman" w:hAnsi="Times New Roman" w:cs="Times New Roman"/>
          <w:sz w:val="26"/>
          <w:szCs w:val="26"/>
        </w:rPr>
        <w:t>0,64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с результатом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исключающие производство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положение, отсутствие обстоятельств, смягчающих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Сарварову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Сарварова Рафаэля Рималовича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(тридцать) тысяч рублей с лишением права управления транспортными средствами на срок 1 (один) год 6 (шесть) месяцев.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номер счета получателя платежа: 03100643000000018700 в РКЦ Ханты-Мансийск//УФК по ХМАО-Югре г.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18810486240320013391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UserDefinedgrp-56rplc-10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7rplc-104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4913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53rplc-9">
    <w:name w:val="cat-UserDefined grp-53 rplc-9"/>
    <w:basedOn w:val="DefaultParagraphFont"/>
  </w:style>
  <w:style w:type="character" w:customStyle="1" w:styleId="cat-UserDefinedgrp-54rplc-25">
    <w:name w:val="cat-UserDefined grp-54 rplc-25"/>
    <w:basedOn w:val="DefaultParagraphFont"/>
  </w:style>
  <w:style w:type="character" w:customStyle="1" w:styleId="cat-UserDefinedgrp-55rplc-27">
    <w:name w:val="cat-UserDefined grp-55 rplc-27"/>
    <w:basedOn w:val="DefaultParagraphFont"/>
  </w:style>
  <w:style w:type="character" w:customStyle="1" w:styleId="cat-UserDefinedgrp-54rplc-41">
    <w:name w:val="cat-UserDefined grp-54 rplc-41"/>
    <w:basedOn w:val="DefaultParagraphFont"/>
  </w:style>
  <w:style w:type="character" w:customStyle="1" w:styleId="cat-UserDefinedgrp-55rplc-43">
    <w:name w:val="cat-UserDefined grp-55 rplc-43"/>
    <w:basedOn w:val="DefaultParagraphFont"/>
  </w:style>
  <w:style w:type="character" w:customStyle="1" w:styleId="cat-UserDefinedgrp-54rplc-51">
    <w:name w:val="cat-UserDefined grp-54 rplc-51"/>
    <w:basedOn w:val="DefaultParagraphFont"/>
  </w:style>
  <w:style w:type="character" w:customStyle="1" w:styleId="cat-UserDefinedgrp-55rplc-53">
    <w:name w:val="cat-UserDefined grp-55 rplc-53"/>
    <w:basedOn w:val="DefaultParagraphFont"/>
  </w:style>
  <w:style w:type="character" w:customStyle="1" w:styleId="cat-UserDefinedgrp-54rplc-61">
    <w:name w:val="cat-UserDefined grp-54 rplc-61"/>
    <w:basedOn w:val="DefaultParagraphFont"/>
  </w:style>
  <w:style w:type="character" w:customStyle="1" w:styleId="cat-UserDefinedgrp-55rplc-63">
    <w:name w:val="cat-UserDefined grp-55 rplc-63"/>
    <w:basedOn w:val="DefaultParagraphFont"/>
  </w:style>
  <w:style w:type="character" w:customStyle="1" w:styleId="cat-UserDefinedgrp-54rplc-68">
    <w:name w:val="cat-UserDefined grp-54 rplc-68"/>
    <w:basedOn w:val="DefaultParagraphFont"/>
  </w:style>
  <w:style w:type="character" w:customStyle="1" w:styleId="cat-UserDefinedgrp-55rplc-70">
    <w:name w:val="cat-UserDefined grp-55 rplc-70"/>
    <w:basedOn w:val="DefaultParagraphFont"/>
  </w:style>
  <w:style w:type="character" w:customStyle="1" w:styleId="cat-UserDefinedgrp-54rplc-82">
    <w:name w:val="cat-UserDefined grp-54 rplc-82"/>
    <w:basedOn w:val="DefaultParagraphFont"/>
  </w:style>
  <w:style w:type="character" w:customStyle="1" w:styleId="cat-UserDefinedgrp-55rplc-84">
    <w:name w:val="cat-UserDefined grp-55 rplc-84"/>
    <w:basedOn w:val="DefaultParagraphFont"/>
  </w:style>
  <w:style w:type="character" w:customStyle="1" w:styleId="cat-UserDefinedgrp-56rplc-102">
    <w:name w:val="cat-UserDefined grp-56 rplc-102"/>
    <w:basedOn w:val="DefaultParagraphFont"/>
  </w:style>
  <w:style w:type="character" w:customStyle="1" w:styleId="cat-UserDefinedgrp-57rplc-104">
    <w:name w:val="cat-UserDefined grp-57 rplc-10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8C0D-19FD-4CCC-97F4-E88B5EFB1E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